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26"/>
        <w:gridCol w:w="3768"/>
      </w:tblGrid>
      <w:tr w:rsidR="00BE58B9" w:rsidRPr="001D626C" w:rsidTr="00B958BC">
        <w:trPr>
          <w:trHeight w:val="1170"/>
        </w:trPr>
        <w:tc>
          <w:tcPr>
            <w:tcW w:w="4726" w:type="dxa"/>
          </w:tcPr>
          <w:p w:rsidR="00BE58B9" w:rsidRPr="001D626C" w:rsidRDefault="00BE58B9" w:rsidP="004F7937">
            <w:pPr>
              <w:spacing w:before="120" w:after="120"/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 w:rsidRPr="001D626C">
              <w:rPr>
                <w:rFonts w:ascii="Garamond" w:eastAsia="Garamond" w:hAnsi="Garamond" w:cs="Garamond"/>
                <w:b/>
                <w:color w:val="000000"/>
              </w:rPr>
              <w:t>SECCIÓN II</w:t>
            </w:r>
          </w:p>
          <w:p w:rsidR="00BE58B9" w:rsidRPr="001D626C" w:rsidRDefault="00BE58B9" w:rsidP="004F7937">
            <w:pPr>
              <w:spacing w:before="120" w:after="120"/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 w:rsidRPr="001D626C">
              <w:rPr>
                <w:rFonts w:ascii="Garamond" w:eastAsia="Garamond" w:hAnsi="Garamond" w:cs="Garamond"/>
                <w:b/>
                <w:color w:val="000000"/>
              </w:rPr>
              <w:t>CRITERIOS Y PLAZOS DE CONCURSOS PÚBLICOS</w:t>
            </w:r>
          </w:p>
        </w:tc>
        <w:tc>
          <w:tcPr>
            <w:tcW w:w="3768" w:type="dxa"/>
          </w:tcPr>
          <w:p w:rsidR="00BE58B9" w:rsidRDefault="00BE58B9" w:rsidP="00BE58B9">
            <w:pPr>
              <w:keepNext/>
              <w:keepLines/>
              <w:spacing w:before="120" w:after="120"/>
              <w:jc w:val="center"/>
              <w:rPr>
                <w:rFonts w:ascii="Garamond" w:eastAsia="Garamond" w:hAnsi="Garamond" w:cs="Garamond"/>
                <w:b/>
                <w:color w:val="FF0000"/>
              </w:rPr>
            </w:pPr>
            <w:r>
              <w:rPr>
                <w:rFonts w:ascii="Garamond" w:eastAsia="Garamond" w:hAnsi="Garamond" w:cs="Garamond"/>
                <w:b/>
                <w:color w:val="FF0000"/>
              </w:rPr>
              <w:t>Modificaciones y Sugerencias</w:t>
            </w:r>
          </w:p>
          <w:p w:rsidR="00BE58B9" w:rsidRPr="00275642" w:rsidRDefault="00BE58B9" w:rsidP="00BE58B9">
            <w:pPr>
              <w:spacing w:before="120" w:after="120"/>
              <w:jc w:val="center"/>
              <w:rPr>
                <w:rFonts w:ascii="Garamond" w:eastAsia="Garamond" w:hAnsi="Garamond" w:cs="Garamond"/>
                <w:b/>
                <w:color w:val="FF0000"/>
              </w:rPr>
            </w:pPr>
            <w:r>
              <w:rPr>
                <w:rFonts w:ascii="Garamond" w:eastAsia="Garamond" w:hAnsi="Garamond" w:cs="Garamond"/>
                <w:b/>
                <w:color w:val="FF0000"/>
              </w:rPr>
              <w:t>Equipo de Auditores de la Contraloría General de la Republica</w:t>
            </w:r>
          </w:p>
        </w:tc>
      </w:tr>
      <w:tr w:rsidR="00BE58B9" w:rsidRPr="001D626C" w:rsidTr="004F7937">
        <w:tc>
          <w:tcPr>
            <w:tcW w:w="4726" w:type="dxa"/>
          </w:tcPr>
          <w:p w:rsidR="00BE58B9" w:rsidRPr="001D626C" w:rsidRDefault="00BE58B9" w:rsidP="004F7937">
            <w:pPr>
              <w:spacing w:before="120" w:after="120"/>
              <w:rPr>
                <w:rFonts w:ascii="Garamond" w:eastAsia="Garamond" w:hAnsi="Garamond" w:cs="Garamond"/>
                <w:b/>
                <w:color w:val="000000"/>
              </w:rPr>
            </w:pPr>
            <w:r w:rsidRPr="001D626C">
              <w:rPr>
                <w:rFonts w:ascii="Garamond" w:eastAsia="Garamond" w:hAnsi="Garamond" w:cs="Garamond"/>
                <w:b/>
                <w:color w:val="000000"/>
              </w:rPr>
              <w:t>Artículo 59. – Criterios para la realización de concursos</w:t>
            </w:r>
          </w:p>
        </w:tc>
        <w:tc>
          <w:tcPr>
            <w:tcW w:w="3768" w:type="dxa"/>
          </w:tcPr>
          <w:p w:rsidR="00BE58B9" w:rsidRPr="00275642" w:rsidRDefault="00BE58B9" w:rsidP="004F7937">
            <w:pPr>
              <w:spacing w:before="120" w:after="120"/>
              <w:rPr>
                <w:rFonts w:ascii="Garamond" w:eastAsia="Garamond" w:hAnsi="Garamond" w:cs="Garamond"/>
                <w:b/>
                <w:color w:val="FF0000"/>
              </w:rPr>
            </w:pPr>
          </w:p>
        </w:tc>
      </w:tr>
      <w:tr w:rsidR="00BE58B9" w:rsidRPr="001D626C" w:rsidTr="004F7937">
        <w:tc>
          <w:tcPr>
            <w:tcW w:w="4726" w:type="dxa"/>
          </w:tcPr>
          <w:p w:rsidR="00BE58B9" w:rsidRPr="001D626C" w:rsidRDefault="00BE58B9" w:rsidP="004F7937">
            <w:pPr>
              <w:keepNext/>
              <w:keepLines/>
              <w:spacing w:before="120" w:after="120"/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 w:rsidRPr="001D626C">
              <w:rPr>
                <w:rFonts w:ascii="Garamond" w:eastAsia="Garamond" w:hAnsi="Garamond" w:cs="Garamond"/>
                <w:color w:val="000000"/>
              </w:rPr>
              <w:t xml:space="preserve">Los concursos públicos para ocupar puestos de la carrera del servicio civil se realizarán, obligatoriamente, para: </w:t>
            </w:r>
          </w:p>
        </w:tc>
        <w:tc>
          <w:tcPr>
            <w:tcW w:w="3768" w:type="dxa"/>
          </w:tcPr>
          <w:p w:rsidR="00BE58B9" w:rsidRPr="00275642" w:rsidRDefault="00BE58B9" w:rsidP="004F7937">
            <w:pPr>
              <w:keepNext/>
              <w:keepLines/>
              <w:spacing w:before="120" w:after="120"/>
              <w:jc w:val="both"/>
              <w:rPr>
                <w:rFonts w:ascii="Garamond" w:eastAsia="Garamond" w:hAnsi="Garamond" w:cs="Garamond"/>
                <w:color w:val="FF0000"/>
              </w:rPr>
            </w:pPr>
          </w:p>
        </w:tc>
      </w:tr>
      <w:tr w:rsidR="00BE58B9" w:rsidRPr="001D626C" w:rsidTr="004F7937">
        <w:tc>
          <w:tcPr>
            <w:tcW w:w="4726" w:type="dxa"/>
          </w:tcPr>
          <w:p w:rsidR="00BE58B9" w:rsidRPr="001D626C" w:rsidRDefault="00BE58B9" w:rsidP="00BE58B9">
            <w:pPr>
              <w:keepNext/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06" w:hanging="284"/>
              <w:jc w:val="both"/>
              <w:rPr>
                <w:rFonts w:ascii="Garamond" w:eastAsia="Garamond" w:hAnsi="Garamond" w:cs="Garamond"/>
                <w:color w:val="000000"/>
              </w:rPr>
            </w:pPr>
            <w:r w:rsidRPr="001D626C">
              <w:rPr>
                <w:rFonts w:ascii="Garamond" w:eastAsia="Garamond" w:hAnsi="Garamond" w:cs="Garamond"/>
                <w:color w:val="000000"/>
              </w:rPr>
              <w:t>Cubrir vacantes de niveles y grados iniciales.</w:t>
            </w:r>
          </w:p>
        </w:tc>
        <w:tc>
          <w:tcPr>
            <w:tcW w:w="3768" w:type="dxa"/>
          </w:tcPr>
          <w:p w:rsidR="00BE58B9" w:rsidRPr="00275642" w:rsidRDefault="00BE58B9" w:rsidP="00BE58B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Garamond" w:eastAsia="Garamond" w:hAnsi="Garamond" w:cs="Garamond"/>
                <w:color w:val="FF0000"/>
              </w:rPr>
            </w:pPr>
            <w:r>
              <w:rPr>
                <w:rFonts w:ascii="Garamond" w:eastAsia="Garamond" w:hAnsi="Garamond" w:cs="Garamond"/>
                <w:color w:val="FF0000"/>
              </w:rPr>
              <w:t>Conforme a las necesidades de cada OEE</w:t>
            </w:r>
          </w:p>
        </w:tc>
      </w:tr>
      <w:tr w:rsidR="00BE58B9" w:rsidRPr="001D626C" w:rsidTr="004F7937">
        <w:tc>
          <w:tcPr>
            <w:tcW w:w="4726" w:type="dxa"/>
          </w:tcPr>
          <w:p w:rsidR="00BE58B9" w:rsidRPr="001D626C" w:rsidRDefault="00BE58B9" w:rsidP="00BE58B9">
            <w:pPr>
              <w:keepNext/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06" w:hanging="284"/>
              <w:jc w:val="both"/>
              <w:rPr>
                <w:rFonts w:ascii="Garamond" w:eastAsia="Garamond" w:hAnsi="Garamond" w:cs="Garamond"/>
                <w:color w:val="000000"/>
              </w:rPr>
            </w:pPr>
            <w:r w:rsidRPr="001D626C">
              <w:rPr>
                <w:rFonts w:ascii="Garamond" w:eastAsia="Garamond" w:hAnsi="Garamond" w:cs="Garamond"/>
                <w:color w:val="000000"/>
              </w:rPr>
              <w:t xml:space="preserve">Cuando se trate de nuevos cargos </w:t>
            </w:r>
            <w:r w:rsidRPr="001D626C">
              <w:rPr>
                <w:rFonts w:ascii="Garamond" w:eastAsia="Garamond" w:hAnsi="Garamond" w:cs="Garamond"/>
              </w:rPr>
              <w:t>asignados</w:t>
            </w:r>
            <w:r w:rsidRPr="001D626C">
              <w:rPr>
                <w:rFonts w:ascii="Garamond" w:eastAsia="Garamond" w:hAnsi="Garamond" w:cs="Garamond"/>
                <w:color w:val="000000"/>
              </w:rPr>
              <w:t xml:space="preserve"> a instituciones públicas o dependencias de reciente creación.</w:t>
            </w:r>
          </w:p>
        </w:tc>
        <w:tc>
          <w:tcPr>
            <w:tcW w:w="3768" w:type="dxa"/>
          </w:tcPr>
          <w:p w:rsidR="00BE58B9" w:rsidRPr="00275642" w:rsidRDefault="00BE58B9" w:rsidP="00BE58B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4"/>
              <w:jc w:val="both"/>
              <w:rPr>
                <w:rFonts w:ascii="Garamond" w:eastAsia="Garamond" w:hAnsi="Garamond" w:cs="Garamond"/>
                <w:color w:val="FF0000"/>
              </w:rPr>
            </w:pPr>
            <w:r>
              <w:rPr>
                <w:rFonts w:ascii="Garamond" w:eastAsia="Garamond" w:hAnsi="Garamond" w:cs="Garamond"/>
                <w:color w:val="FF0000"/>
              </w:rPr>
              <w:t xml:space="preserve">Cada institución debe detectar la necesidad de cargo o actividades que sean cubrir. </w:t>
            </w:r>
          </w:p>
        </w:tc>
      </w:tr>
      <w:tr w:rsidR="00BE58B9" w:rsidRPr="001D626C" w:rsidTr="004F7937">
        <w:tc>
          <w:tcPr>
            <w:tcW w:w="4726" w:type="dxa"/>
          </w:tcPr>
          <w:p w:rsidR="00BE58B9" w:rsidRDefault="00BE58B9" w:rsidP="004F7937">
            <w:pPr>
              <w:spacing w:before="120" w:after="120"/>
              <w:jc w:val="both"/>
              <w:rPr>
                <w:rFonts w:ascii="Garamond" w:eastAsia="Garamond" w:hAnsi="Garamond" w:cs="Garamond"/>
                <w:color w:val="000000"/>
              </w:rPr>
            </w:pPr>
          </w:p>
          <w:p w:rsidR="00BE58B9" w:rsidRPr="001D626C" w:rsidRDefault="00BE58B9" w:rsidP="004F7937">
            <w:pPr>
              <w:spacing w:before="120" w:after="120"/>
              <w:jc w:val="both"/>
              <w:rPr>
                <w:rFonts w:ascii="Garamond" w:eastAsia="Garamond" w:hAnsi="Garamond" w:cs="Garamond"/>
                <w:color w:val="000000"/>
              </w:rPr>
            </w:pPr>
            <w:bookmarkStart w:id="0" w:name="_GoBack"/>
            <w:bookmarkEnd w:id="0"/>
            <w:r w:rsidRPr="001D626C">
              <w:rPr>
                <w:rFonts w:ascii="Garamond" w:eastAsia="Garamond" w:hAnsi="Garamond" w:cs="Garamond"/>
                <w:color w:val="000000"/>
              </w:rPr>
              <w:t>En cualquiera de los casos, todos los llamados a concurso público que realicen las instituciones públicas deberán ceñirse a lo contemplado en la presente ley y a la disponibilidad presupuestaria correspondiente o disponibilidad presupuestaria municipal en su caso. Las instituciones que componen el ámbito del Poder Ejecutivo deberán contar previamente con la autorización del Ministerio de Economía y Finanzas, que acredite la correspondiente viabilidad financiera.</w:t>
            </w:r>
          </w:p>
        </w:tc>
        <w:tc>
          <w:tcPr>
            <w:tcW w:w="3768" w:type="dxa"/>
          </w:tcPr>
          <w:p w:rsidR="00BE58B9" w:rsidRPr="00BE58B9" w:rsidRDefault="00BE58B9" w:rsidP="004F7937">
            <w:pPr>
              <w:spacing w:before="120" w:after="120"/>
              <w:jc w:val="both"/>
              <w:rPr>
                <w:rFonts w:ascii="Garamond" w:eastAsia="Garamond" w:hAnsi="Garamond" w:cs="Garamond"/>
                <w:b/>
                <w:color w:val="FF0000"/>
              </w:rPr>
            </w:pPr>
            <w:r w:rsidRPr="00BE58B9">
              <w:rPr>
                <w:rFonts w:ascii="Garamond" w:eastAsia="Garamond" w:hAnsi="Garamond" w:cs="Garamond"/>
                <w:b/>
                <w:color w:val="FF0000"/>
              </w:rPr>
              <w:t>Sugerencia</w:t>
            </w:r>
            <w:r>
              <w:rPr>
                <w:rFonts w:ascii="Garamond" w:eastAsia="Garamond" w:hAnsi="Garamond" w:cs="Garamond"/>
                <w:color w:val="FF0000"/>
              </w:rPr>
              <w:t>: Una vez detectado la necesidad del puesto, llamar a concu</w:t>
            </w:r>
            <w:r w:rsidRPr="00BE58B9">
              <w:rPr>
                <w:rFonts w:ascii="Garamond" w:eastAsia="Garamond" w:hAnsi="Garamond" w:cs="Garamond"/>
                <w:b/>
                <w:color w:val="FF0000"/>
              </w:rPr>
              <w:t>rso dentro del sector público.</w:t>
            </w:r>
          </w:p>
          <w:p w:rsidR="00BE58B9" w:rsidRDefault="00BE58B9" w:rsidP="004F7937">
            <w:pPr>
              <w:spacing w:before="120" w:after="120"/>
              <w:jc w:val="both"/>
              <w:rPr>
                <w:rFonts w:ascii="Garamond" w:eastAsia="Garamond" w:hAnsi="Garamond" w:cs="Garamond"/>
                <w:color w:val="FF0000"/>
              </w:rPr>
            </w:pPr>
            <w:r w:rsidRPr="00BE58B9">
              <w:rPr>
                <w:rFonts w:ascii="Garamond" w:eastAsia="Garamond" w:hAnsi="Garamond" w:cs="Garamond"/>
                <w:b/>
                <w:color w:val="FF0000"/>
              </w:rPr>
              <w:t>Nota</w:t>
            </w:r>
            <w:r>
              <w:rPr>
                <w:rFonts w:ascii="Garamond" w:eastAsia="Garamond" w:hAnsi="Garamond" w:cs="Garamond"/>
                <w:color w:val="FF0000"/>
              </w:rPr>
              <w:t>: hay instituciones que poseen funcionarios (profesionales o no) en demasía, y con esta opción pueden ser reubicados (No Comisionados) con su misma asignación o categoría</w:t>
            </w:r>
          </w:p>
          <w:p w:rsidR="00BE58B9" w:rsidRDefault="00BE58B9" w:rsidP="004F7937">
            <w:pPr>
              <w:spacing w:before="120" w:after="120"/>
              <w:jc w:val="both"/>
              <w:rPr>
                <w:rFonts w:ascii="Garamond" w:eastAsia="Garamond" w:hAnsi="Garamond" w:cs="Garamond"/>
                <w:color w:val="FF0000"/>
              </w:rPr>
            </w:pPr>
            <w:r>
              <w:rPr>
                <w:rFonts w:ascii="Garamond" w:eastAsia="Garamond" w:hAnsi="Garamond" w:cs="Garamond"/>
                <w:color w:val="FF0000"/>
              </w:rPr>
              <w:t xml:space="preserve">*Costo cero para el Estado (MEF) </w:t>
            </w:r>
          </w:p>
          <w:p w:rsidR="00BE58B9" w:rsidRDefault="00BE58B9" w:rsidP="004F7937">
            <w:pPr>
              <w:spacing w:before="120" w:after="120"/>
              <w:jc w:val="both"/>
              <w:rPr>
                <w:rFonts w:ascii="Garamond" w:eastAsia="Garamond" w:hAnsi="Garamond" w:cs="Garamond"/>
                <w:color w:val="FF0000"/>
              </w:rPr>
            </w:pPr>
            <w:r>
              <w:rPr>
                <w:rFonts w:ascii="Garamond" w:eastAsia="Garamond" w:hAnsi="Garamond" w:cs="Garamond"/>
                <w:color w:val="FF0000"/>
              </w:rPr>
              <w:t>*El funcionario ya cuenta con experiencia laboral en el sector.</w:t>
            </w:r>
          </w:p>
          <w:p w:rsidR="00BE58B9" w:rsidRPr="00275642" w:rsidRDefault="00BE58B9" w:rsidP="004F7937">
            <w:pPr>
              <w:spacing w:before="120" w:after="120"/>
              <w:jc w:val="both"/>
              <w:rPr>
                <w:rFonts w:ascii="Garamond" w:eastAsia="Garamond" w:hAnsi="Garamond" w:cs="Garamond"/>
                <w:color w:val="FF0000"/>
              </w:rPr>
            </w:pPr>
          </w:p>
        </w:tc>
      </w:tr>
      <w:tr w:rsidR="00BE58B9" w:rsidRPr="001D626C" w:rsidTr="004F7937">
        <w:tc>
          <w:tcPr>
            <w:tcW w:w="4726" w:type="dxa"/>
          </w:tcPr>
          <w:p w:rsidR="00BE58B9" w:rsidRPr="001D626C" w:rsidRDefault="00BE58B9" w:rsidP="004F7937">
            <w:pPr>
              <w:keepNext/>
              <w:keepLines/>
              <w:spacing w:before="120" w:after="120"/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 w:rsidRPr="001D626C">
              <w:rPr>
                <w:rFonts w:ascii="Garamond" w:eastAsia="Garamond" w:hAnsi="Garamond" w:cs="Garamond"/>
                <w:b/>
                <w:color w:val="000000"/>
              </w:rPr>
              <w:t xml:space="preserve">Artículo 60. – Plazo de ejecución de los concursos </w:t>
            </w:r>
          </w:p>
        </w:tc>
        <w:tc>
          <w:tcPr>
            <w:tcW w:w="3768" w:type="dxa"/>
          </w:tcPr>
          <w:p w:rsidR="00BE58B9" w:rsidRPr="00275642" w:rsidRDefault="00BE58B9" w:rsidP="004F7937">
            <w:pPr>
              <w:keepNext/>
              <w:keepLines/>
              <w:spacing w:before="120" w:after="120"/>
              <w:jc w:val="both"/>
              <w:rPr>
                <w:rFonts w:ascii="Garamond" w:eastAsia="Garamond" w:hAnsi="Garamond" w:cs="Garamond"/>
                <w:b/>
                <w:color w:val="FF0000"/>
              </w:rPr>
            </w:pPr>
          </w:p>
        </w:tc>
      </w:tr>
      <w:tr w:rsidR="00BE58B9" w:rsidRPr="001D626C" w:rsidTr="004F7937">
        <w:tc>
          <w:tcPr>
            <w:tcW w:w="4726" w:type="dxa"/>
          </w:tcPr>
          <w:p w:rsidR="00BE58B9" w:rsidRPr="001D626C" w:rsidRDefault="00BE58B9" w:rsidP="004F7937">
            <w:pPr>
              <w:keepNext/>
              <w:keepLines/>
              <w:spacing w:before="120" w:after="120"/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 w:rsidRPr="001D626C">
              <w:rPr>
                <w:rFonts w:ascii="Garamond" w:eastAsia="Garamond" w:hAnsi="Garamond" w:cs="Garamond"/>
                <w:color w:val="000000"/>
              </w:rPr>
              <w:t>Cumplidos los presupuestos señalados en el artículo precedente, las instituciones públicas podrán iniciar el proceso de selección a través del concurso público.</w:t>
            </w:r>
          </w:p>
        </w:tc>
        <w:tc>
          <w:tcPr>
            <w:tcW w:w="3768" w:type="dxa"/>
          </w:tcPr>
          <w:p w:rsidR="00BE58B9" w:rsidRPr="00275642" w:rsidRDefault="00BE58B9" w:rsidP="004F7937">
            <w:pPr>
              <w:keepNext/>
              <w:keepLines/>
              <w:spacing w:before="120" w:after="120"/>
              <w:jc w:val="both"/>
              <w:rPr>
                <w:rFonts w:ascii="Garamond" w:eastAsia="Garamond" w:hAnsi="Garamond" w:cs="Garamond"/>
                <w:color w:val="FF0000"/>
              </w:rPr>
            </w:pPr>
            <w:r>
              <w:rPr>
                <w:rFonts w:ascii="Garamond" w:eastAsia="Garamond" w:hAnsi="Garamond" w:cs="Garamond"/>
                <w:color w:val="FF0000"/>
              </w:rPr>
              <w:t>Cada institución hace el llamado respectivo, conforme a sus necesidades, en coordinación con el MEF.</w:t>
            </w:r>
          </w:p>
        </w:tc>
      </w:tr>
    </w:tbl>
    <w:p w:rsidR="005D5518" w:rsidRDefault="005D5518"/>
    <w:sectPr w:rsidR="005D55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49" w:rsidRDefault="00293249" w:rsidP="00EC1697">
      <w:r>
        <w:separator/>
      </w:r>
    </w:p>
  </w:endnote>
  <w:endnote w:type="continuationSeparator" w:id="0">
    <w:p w:rsidR="00293249" w:rsidRDefault="00293249" w:rsidP="00EC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49" w:rsidRDefault="00293249" w:rsidP="00EC1697">
      <w:r>
        <w:separator/>
      </w:r>
    </w:p>
  </w:footnote>
  <w:footnote w:type="continuationSeparator" w:id="0">
    <w:p w:rsidR="00293249" w:rsidRDefault="00293249" w:rsidP="00EC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97" w:rsidRDefault="00EC1697">
    <w:pPr>
      <w:pStyle w:val="Encabezado"/>
    </w:pPr>
    <w:r>
      <w:t>Miguel Angel González P., Auditor CGR – 021.6200-503 - 0982324499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84628"/>
    <w:multiLevelType w:val="hybridMultilevel"/>
    <w:tmpl w:val="DE40C3AC"/>
    <w:lvl w:ilvl="0" w:tplc="329250E6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53DDA"/>
    <w:multiLevelType w:val="hybridMultilevel"/>
    <w:tmpl w:val="40E04CEA"/>
    <w:lvl w:ilvl="0" w:tplc="37E46CEE">
      <w:start w:val="2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2A3D"/>
    <w:multiLevelType w:val="multilevel"/>
    <w:tmpl w:val="4B1032D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666FA"/>
    <w:multiLevelType w:val="multilevel"/>
    <w:tmpl w:val="821E43C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1E"/>
    <w:rsid w:val="00293249"/>
    <w:rsid w:val="005D5518"/>
    <w:rsid w:val="007F271E"/>
    <w:rsid w:val="007F5D66"/>
    <w:rsid w:val="00935CB5"/>
    <w:rsid w:val="00BE58B9"/>
    <w:rsid w:val="00E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3D05"/>
  <w15:chartTrackingRefBased/>
  <w15:docId w15:val="{178C5B3A-A9E0-4D5D-9C8F-C183A7B8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5C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16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697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C16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697"/>
    <w:rPr>
      <w:rFonts w:ascii="Times New Roman" w:eastAsia="Times New Roman" w:hAnsi="Times New Roman" w:cs="Times New Roman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González Pérez</dc:creator>
  <cp:keywords/>
  <dc:description/>
  <cp:lastModifiedBy>Miguel Angel González Pérez</cp:lastModifiedBy>
  <cp:revision>4</cp:revision>
  <dcterms:created xsi:type="dcterms:W3CDTF">2024-02-20T13:32:00Z</dcterms:created>
  <dcterms:modified xsi:type="dcterms:W3CDTF">2024-02-20T14:12:00Z</dcterms:modified>
</cp:coreProperties>
</file>